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6630A5">
        <w:rPr>
          <w:b w:val="0"/>
          <w:sz w:val="28"/>
        </w:rPr>
        <w:t>Wahrscheinlicher</w:t>
      </w:r>
    </w:p>
    <w:p w:rsidR="00CB0D56" w:rsidRPr="005B3A94" w:rsidRDefault="00330480" w:rsidP="00CB0D56">
      <w:pPr>
        <w:pStyle w:val="2berschrift"/>
        <w:rPr>
          <w:lang w:val="de-DE"/>
        </w:rPr>
      </w:pPr>
      <w:r>
        <w:t xml:space="preserve">Merkmale der </w:t>
      </w:r>
      <w:r w:rsidR="005B3A94">
        <w:rPr>
          <w:lang w:val="de-DE"/>
        </w:rPr>
        <w:t>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5B3A94" w:rsidRPr="00D65E45" w:rsidTr="006630A5">
        <w:trPr>
          <w:cantSplit/>
        </w:trPr>
        <w:tc>
          <w:tcPr>
            <w:tcW w:w="1984" w:type="dxa"/>
            <w:shd w:val="clear" w:color="auto" w:fill="auto"/>
            <w:vAlign w:val="center"/>
          </w:tcPr>
          <w:p w:rsidR="005B3A94" w:rsidRPr="005B3A94" w:rsidRDefault="005B3A94" w:rsidP="005B3A94">
            <w:pPr>
              <w:spacing w:line="288" w:lineRule="auto"/>
              <w:rPr>
                <w:sz w:val="18"/>
                <w:szCs w:val="18"/>
              </w:rPr>
            </w:pPr>
            <w:r w:rsidRPr="005B3A94">
              <w:rPr>
                <w:sz w:val="18"/>
                <w:szCs w:val="18"/>
              </w:rPr>
              <w:t>Leitidee</w:t>
            </w:r>
          </w:p>
        </w:tc>
        <w:tc>
          <w:tcPr>
            <w:tcW w:w="7087" w:type="dxa"/>
            <w:shd w:val="clear" w:color="auto" w:fill="auto"/>
            <w:vAlign w:val="center"/>
          </w:tcPr>
          <w:p w:rsidR="005B3A94" w:rsidRPr="005B3A94" w:rsidRDefault="005B3A94" w:rsidP="005B3A94">
            <w:pPr>
              <w:keepNext/>
              <w:spacing w:line="288" w:lineRule="auto"/>
              <w:rPr>
                <w:sz w:val="18"/>
                <w:szCs w:val="18"/>
              </w:rPr>
            </w:pPr>
            <w:r w:rsidRPr="005B3A94">
              <w:rPr>
                <w:sz w:val="18"/>
                <w:szCs w:val="18"/>
              </w:rPr>
              <w:t>Daten und Zufall (L5)</w:t>
            </w:r>
          </w:p>
        </w:tc>
      </w:tr>
      <w:tr w:rsidR="005B3A94" w:rsidRPr="00D65E45" w:rsidTr="006630A5">
        <w:trPr>
          <w:cantSplit/>
        </w:trPr>
        <w:tc>
          <w:tcPr>
            <w:tcW w:w="1984" w:type="dxa"/>
            <w:shd w:val="clear" w:color="auto" w:fill="auto"/>
            <w:vAlign w:val="center"/>
          </w:tcPr>
          <w:p w:rsidR="005B3A94" w:rsidRPr="005B3A94" w:rsidRDefault="005B3A94" w:rsidP="005B3A94">
            <w:pPr>
              <w:spacing w:line="288" w:lineRule="auto"/>
              <w:rPr>
                <w:sz w:val="18"/>
                <w:szCs w:val="18"/>
              </w:rPr>
            </w:pPr>
            <w:r w:rsidRPr="005B3A94">
              <w:rPr>
                <w:sz w:val="18"/>
                <w:szCs w:val="18"/>
              </w:rPr>
              <w:t>Allgemeine Kompetenz</w:t>
            </w:r>
          </w:p>
        </w:tc>
        <w:tc>
          <w:tcPr>
            <w:tcW w:w="7087" w:type="dxa"/>
            <w:shd w:val="clear" w:color="auto" w:fill="auto"/>
            <w:vAlign w:val="center"/>
          </w:tcPr>
          <w:p w:rsidR="005B3A94" w:rsidRPr="005B3A94" w:rsidRDefault="005B3A94" w:rsidP="005B3A94">
            <w:pPr>
              <w:keepNext/>
              <w:spacing w:line="288" w:lineRule="auto"/>
              <w:rPr>
                <w:sz w:val="18"/>
                <w:szCs w:val="18"/>
              </w:rPr>
            </w:pPr>
            <w:r w:rsidRPr="005B3A94">
              <w:rPr>
                <w:sz w:val="18"/>
                <w:szCs w:val="18"/>
              </w:rPr>
              <w:t>Mathematisch argumentieren (K1),</w:t>
            </w:r>
          </w:p>
          <w:p w:rsidR="005B3A94" w:rsidRPr="005B3A94" w:rsidRDefault="005B3A94" w:rsidP="005B3A94">
            <w:pPr>
              <w:keepNext/>
              <w:spacing w:line="288" w:lineRule="auto"/>
              <w:rPr>
                <w:sz w:val="18"/>
                <w:szCs w:val="18"/>
              </w:rPr>
            </w:pPr>
            <w:r w:rsidRPr="005B3A94">
              <w:rPr>
                <w:sz w:val="18"/>
                <w:szCs w:val="18"/>
              </w:rPr>
              <w:t>Mathematisch modellieren (K3)</w:t>
            </w:r>
          </w:p>
        </w:tc>
      </w:tr>
      <w:tr w:rsidR="005B3A94" w:rsidRPr="00D65E45" w:rsidTr="006630A5">
        <w:trPr>
          <w:cantSplit/>
        </w:trPr>
        <w:tc>
          <w:tcPr>
            <w:tcW w:w="1984" w:type="dxa"/>
            <w:shd w:val="clear" w:color="auto" w:fill="auto"/>
            <w:vAlign w:val="center"/>
          </w:tcPr>
          <w:p w:rsidR="005B3A94" w:rsidRPr="005B3A94" w:rsidRDefault="005B3A94" w:rsidP="005B3A94">
            <w:pPr>
              <w:spacing w:line="288" w:lineRule="auto"/>
              <w:rPr>
                <w:sz w:val="18"/>
                <w:szCs w:val="18"/>
              </w:rPr>
            </w:pPr>
            <w:r w:rsidRPr="005B3A94">
              <w:rPr>
                <w:sz w:val="18"/>
                <w:szCs w:val="18"/>
              </w:rPr>
              <w:t>Anforderungsbereich</w:t>
            </w:r>
          </w:p>
        </w:tc>
        <w:tc>
          <w:tcPr>
            <w:tcW w:w="7087" w:type="dxa"/>
            <w:shd w:val="clear" w:color="auto" w:fill="auto"/>
            <w:vAlign w:val="center"/>
          </w:tcPr>
          <w:p w:rsidR="005B3A94" w:rsidRPr="005B3A94" w:rsidRDefault="005B3A94" w:rsidP="005B3A94">
            <w:pPr>
              <w:keepNext/>
              <w:spacing w:line="288" w:lineRule="auto"/>
              <w:rPr>
                <w:sz w:val="18"/>
                <w:szCs w:val="18"/>
              </w:rPr>
            </w:pPr>
            <w:r w:rsidRPr="005B3A94">
              <w:rPr>
                <w:sz w:val="18"/>
                <w:szCs w:val="18"/>
              </w:rPr>
              <w:t>I</w:t>
            </w:r>
          </w:p>
        </w:tc>
      </w:tr>
      <w:tr w:rsidR="005B3A94" w:rsidRPr="00D65E45" w:rsidTr="006630A5">
        <w:trPr>
          <w:cantSplit/>
        </w:trPr>
        <w:tc>
          <w:tcPr>
            <w:tcW w:w="1984" w:type="dxa"/>
            <w:shd w:val="clear" w:color="auto" w:fill="auto"/>
            <w:vAlign w:val="center"/>
          </w:tcPr>
          <w:p w:rsidR="005B3A94" w:rsidRPr="005B3A94" w:rsidRDefault="005B3A94" w:rsidP="005B3A94">
            <w:pPr>
              <w:spacing w:line="288" w:lineRule="auto"/>
              <w:rPr>
                <w:sz w:val="18"/>
                <w:szCs w:val="18"/>
              </w:rPr>
            </w:pPr>
            <w:r w:rsidRPr="005B3A94">
              <w:rPr>
                <w:sz w:val="18"/>
                <w:szCs w:val="18"/>
              </w:rPr>
              <w:t>Kompetenzstufe</w:t>
            </w:r>
          </w:p>
        </w:tc>
        <w:tc>
          <w:tcPr>
            <w:tcW w:w="7087" w:type="dxa"/>
            <w:shd w:val="clear" w:color="auto" w:fill="auto"/>
            <w:vAlign w:val="center"/>
          </w:tcPr>
          <w:p w:rsidR="005B3A94" w:rsidRPr="005B3A94" w:rsidRDefault="005B3A94" w:rsidP="005B3A94">
            <w:pPr>
              <w:keepNext/>
              <w:spacing w:line="288" w:lineRule="auto"/>
              <w:rPr>
                <w:sz w:val="18"/>
                <w:szCs w:val="18"/>
              </w:rPr>
            </w:pPr>
            <w:r w:rsidRPr="005B3A94">
              <w:rPr>
                <w:sz w:val="18"/>
                <w:szCs w:val="18"/>
              </w:rPr>
              <w:t>1B</w:t>
            </w:r>
          </w:p>
        </w:tc>
      </w:tr>
    </w:tbl>
    <w:p w:rsidR="005B3A94" w:rsidRPr="005B3A94" w:rsidRDefault="005B3A94" w:rsidP="005B3A94">
      <w:pPr>
        <w:pStyle w:val="AufgabenbezogenerKommentar"/>
        <w:spacing w:line="288" w:lineRule="auto"/>
        <w:rPr>
          <w:sz w:val="22"/>
          <w:szCs w:val="22"/>
        </w:rPr>
      </w:pPr>
      <w:r w:rsidRPr="005B3A94">
        <w:rPr>
          <w:sz w:val="22"/>
          <w:szCs w:val="22"/>
        </w:rPr>
        <w:t>Aufgabenbezogener Kommentar</w:t>
      </w:r>
    </w:p>
    <w:p w:rsidR="005B3A94" w:rsidRPr="005B3A94" w:rsidRDefault="005B3A94" w:rsidP="005B3A94">
      <w:pPr>
        <w:pStyle w:val="Flietext"/>
        <w:spacing w:line="288" w:lineRule="auto"/>
        <w:rPr>
          <w:szCs w:val="22"/>
        </w:rPr>
      </w:pPr>
      <w:r w:rsidRPr="005B3A94">
        <w:rPr>
          <w:szCs w:val="22"/>
        </w:rPr>
        <w:t xml:space="preserve">Da das Bestimmen von Wahrscheinlichkeiten bei Zufallsexperimenten Gegenstand dieser Aufgabe ist, wird sie der Leitidee Daten und Zufall (L5) zugeordnet. </w:t>
      </w:r>
    </w:p>
    <w:p w:rsidR="005B3A94" w:rsidRPr="005B3A94" w:rsidRDefault="005B3A94" w:rsidP="005B3A94">
      <w:pPr>
        <w:pStyle w:val="Flietext"/>
        <w:spacing w:line="288" w:lineRule="auto"/>
        <w:rPr>
          <w:szCs w:val="22"/>
        </w:rPr>
      </w:pPr>
      <w:r w:rsidRPr="005B3A94">
        <w:rPr>
          <w:szCs w:val="22"/>
        </w:rPr>
        <w:t>Diese Aufgabe kann durch Nutzung vertrauter Modelle gelöst werden (K3). So lassen sich die beiden Laplace-Wahrscheinlichkeiten der beschriebenen Ereignisse durch Bildung der Quotienten aus der Anzahl der günstigen Ergebnisse und der Anzahl der möglichen Ergebnisse berechnen und anschließend vergleichen. Alternativ kann der Vergleich auf inhaltlicher Ebene über eine Betrachtung der unterschiedlichen Anzahlen aller möglichen Ergebnisse bei diesen beiden Experimenten und der identischen Anzahl (nämlich 1) der günstigen Ergebnisse stattfinden. Durch Wiedergabe dieser aus dem Unterricht vertrauten Verfahren ist die Entscheidung zu begründen (K1).</w:t>
      </w:r>
    </w:p>
    <w:p w:rsidR="005B3A94" w:rsidRPr="005B3A94" w:rsidRDefault="005B3A94" w:rsidP="005B3A94">
      <w:pPr>
        <w:pStyle w:val="Flietext"/>
        <w:spacing w:line="288" w:lineRule="auto"/>
        <w:rPr>
          <w:szCs w:val="22"/>
        </w:rPr>
      </w:pPr>
      <w:r w:rsidRPr="005B3A94">
        <w:rPr>
          <w:szCs w:val="22"/>
        </w:rPr>
        <w:t>Die Aufgabe erfordert die direkte Anwendung von grundlegenden Begriffen und Verfahren der Wahrscheinlichkeitsrechnung und gehört daher zum Anforderungsbereich I.</w:t>
      </w:r>
    </w:p>
    <w:p w:rsidR="005B3A94" w:rsidRPr="005B3A94" w:rsidRDefault="005B3A94" w:rsidP="005B3A94">
      <w:pPr>
        <w:pStyle w:val="Flietext"/>
        <w:spacing w:line="288" w:lineRule="auto"/>
        <w:rPr>
          <w:rFonts w:cs="Arial"/>
          <w:szCs w:val="22"/>
        </w:rPr>
      </w:pPr>
      <w:r w:rsidRPr="005B3A94">
        <w:rPr>
          <w:rFonts w:cs="Arial"/>
          <w:szCs w:val="22"/>
        </w:rPr>
        <w:t>Folgende Schwierigkeiten und Fehler sind zu erwarten:</w:t>
      </w:r>
    </w:p>
    <w:p w:rsidR="005B3A94" w:rsidRPr="005B3A94" w:rsidRDefault="005B3A94" w:rsidP="005B3A94">
      <w:pPr>
        <w:pStyle w:val="Flietext"/>
        <w:numPr>
          <w:ilvl w:val="0"/>
          <w:numId w:val="8"/>
        </w:numPr>
        <w:spacing w:line="288" w:lineRule="auto"/>
        <w:ind w:left="357" w:hanging="357"/>
        <w:rPr>
          <w:rFonts w:cs="Arial"/>
          <w:szCs w:val="22"/>
        </w:rPr>
      </w:pPr>
      <w:r w:rsidRPr="005B3A94">
        <w:rPr>
          <w:rFonts w:cs="Arial"/>
          <w:szCs w:val="22"/>
        </w:rPr>
        <w:t>Die ermittelten Wahrscheinlichkeiten 1/6 und 1/2 können aufgrund ihrer Darstellung als Brüche mit unterschiedlichen Nennern nicht verglichen werden (K5).</w:t>
      </w:r>
    </w:p>
    <w:p w:rsidR="005B3A94" w:rsidRPr="005B3A94" w:rsidRDefault="005B3A94" w:rsidP="005B3A94">
      <w:pPr>
        <w:pStyle w:val="Flietext"/>
        <w:numPr>
          <w:ilvl w:val="0"/>
          <w:numId w:val="8"/>
        </w:numPr>
        <w:spacing w:line="288" w:lineRule="auto"/>
        <w:ind w:left="357" w:hanging="357"/>
        <w:rPr>
          <w:rFonts w:cs="Arial"/>
          <w:szCs w:val="22"/>
        </w:rPr>
      </w:pPr>
      <w:r w:rsidRPr="005B3A94">
        <w:rPr>
          <w:rFonts w:cs="Arial"/>
          <w:szCs w:val="22"/>
        </w:rPr>
        <w:t xml:space="preserve">Aufgrund fehlender oder nicht aktivierbarer Vorstellungen zum </w:t>
      </w:r>
      <w:proofErr w:type="spellStart"/>
      <w:r w:rsidRPr="005B3A94">
        <w:rPr>
          <w:rFonts w:cs="Arial"/>
          <w:szCs w:val="22"/>
        </w:rPr>
        <w:t>Wahrscheinlichkeits</w:t>
      </w:r>
      <w:r w:rsidRPr="005B3A94">
        <w:rPr>
          <w:rFonts w:cs="Arial"/>
          <w:szCs w:val="22"/>
        </w:rPr>
        <w:softHyphen/>
        <w:t>begriff</w:t>
      </w:r>
      <w:proofErr w:type="spellEnd"/>
      <w:r w:rsidRPr="005B3A94">
        <w:rPr>
          <w:rFonts w:cs="Arial"/>
          <w:szCs w:val="22"/>
        </w:rPr>
        <w:t xml:space="preserve"> wird alleine auf der Basis von Alltagswissen bzw. -erfahrungen argumentiert, was die folgenden drei Schülerlösungen exemplarisch illustrieren (</w:t>
      </w:r>
      <w:bookmarkStart w:id="0" w:name="_GoBack"/>
      <w:bookmarkEnd w:id="0"/>
      <w:r w:rsidRPr="005B3A94">
        <w:rPr>
          <w:rFonts w:cs="Arial"/>
          <w:szCs w:val="22"/>
        </w:rPr>
        <w:t>K3).</w:t>
      </w:r>
    </w:p>
    <w:p w:rsidR="005B3A94" w:rsidRPr="005B3A94" w:rsidRDefault="005B3A94" w:rsidP="005B3A94">
      <w:pPr>
        <w:pStyle w:val="Flietext"/>
        <w:spacing w:before="240" w:line="288" w:lineRule="auto"/>
        <w:rPr>
          <w:szCs w:val="22"/>
        </w:rPr>
      </w:pPr>
      <w:r w:rsidRPr="005B3A94">
        <w:rPr>
          <w:noProof/>
          <w:szCs w:val="22"/>
        </w:rPr>
        <w:drawing>
          <wp:inline distT="0" distB="0" distL="0" distR="0" wp14:anchorId="090E53B9" wp14:editId="05AE9569">
            <wp:extent cx="4895850" cy="2543175"/>
            <wp:effectExtent l="19050" t="19050" r="19050" b="28575"/>
            <wp:docPr id="6" name="Grafik 6"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6624" r="8278"/>
                    <a:stretch>
                      <a:fillRect/>
                    </a:stretch>
                  </pic:blipFill>
                  <pic:spPr bwMode="auto">
                    <a:xfrm>
                      <a:off x="0" y="0"/>
                      <a:ext cx="4895850" cy="2543175"/>
                    </a:xfrm>
                    <a:prstGeom prst="rect">
                      <a:avLst/>
                    </a:prstGeom>
                    <a:noFill/>
                    <a:ln w="6350" cmpd="sng">
                      <a:solidFill>
                        <a:srgbClr val="000000"/>
                      </a:solidFill>
                      <a:miter lim="800000"/>
                      <a:headEnd/>
                      <a:tailEnd/>
                    </a:ln>
                    <a:effectLst/>
                  </pic:spPr>
                </pic:pic>
              </a:graphicData>
            </a:graphic>
          </wp:inline>
        </w:drawing>
      </w:r>
    </w:p>
    <w:p w:rsidR="005B3A94" w:rsidRPr="005B3A94" w:rsidRDefault="005B3A94" w:rsidP="005B3A94">
      <w:pPr>
        <w:pStyle w:val="Flietext"/>
        <w:spacing w:before="240" w:line="288" w:lineRule="auto"/>
        <w:rPr>
          <w:szCs w:val="22"/>
        </w:rPr>
      </w:pPr>
      <w:r w:rsidRPr="005B3A94">
        <w:rPr>
          <w:noProof/>
          <w:szCs w:val="22"/>
        </w:rPr>
        <w:lastRenderedPageBreak/>
        <w:drawing>
          <wp:inline distT="0" distB="0" distL="0" distR="0" wp14:anchorId="15A68F46" wp14:editId="31D337C3">
            <wp:extent cx="4895850" cy="2219325"/>
            <wp:effectExtent l="19050" t="19050" r="19050" b="28575"/>
            <wp:docPr id="5" name="Grafik 5"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5629" r="9271"/>
                    <a:stretch>
                      <a:fillRect/>
                    </a:stretch>
                  </pic:blipFill>
                  <pic:spPr bwMode="auto">
                    <a:xfrm>
                      <a:off x="0" y="0"/>
                      <a:ext cx="4895850" cy="2219325"/>
                    </a:xfrm>
                    <a:prstGeom prst="rect">
                      <a:avLst/>
                    </a:prstGeom>
                    <a:noFill/>
                    <a:ln w="6350" cmpd="sng">
                      <a:solidFill>
                        <a:srgbClr val="000000"/>
                      </a:solidFill>
                      <a:miter lim="800000"/>
                      <a:headEnd/>
                      <a:tailEnd/>
                    </a:ln>
                    <a:effectLst/>
                  </pic:spPr>
                </pic:pic>
              </a:graphicData>
            </a:graphic>
          </wp:inline>
        </w:drawing>
      </w:r>
    </w:p>
    <w:p w:rsidR="005B3A94" w:rsidRPr="005B3A94" w:rsidRDefault="005B3A94" w:rsidP="005B3A94">
      <w:pPr>
        <w:pStyle w:val="Flietext"/>
        <w:spacing w:before="240" w:line="288" w:lineRule="auto"/>
        <w:rPr>
          <w:szCs w:val="22"/>
        </w:rPr>
      </w:pPr>
      <w:r w:rsidRPr="005B3A94">
        <w:rPr>
          <w:noProof/>
          <w:szCs w:val="22"/>
        </w:rPr>
        <w:drawing>
          <wp:inline distT="0" distB="0" distL="0" distR="0" wp14:anchorId="0F0F0AAF" wp14:editId="4F19A30E">
            <wp:extent cx="4895850" cy="1952625"/>
            <wp:effectExtent l="19050" t="19050" r="19050" b="28575"/>
            <wp:docPr id="4" name="Grafik 4" descr="Sca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an03"/>
                    <pic:cNvPicPr>
                      <a:picLocks noChangeAspect="1" noChangeArrowheads="1"/>
                    </pic:cNvPicPr>
                  </pic:nvPicPr>
                  <pic:blipFill>
                    <a:blip r:embed="rId10" cstate="print">
                      <a:extLst>
                        <a:ext uri="{28A0092B-C50C-407E-A947-70E740481C1C}">
                          <a14:useLocalDpi xmlns:a14="http://schemas.microsoft.com/office/drawing/2010/main" val="0"/>
                        </a:ext>
                      </a:extLst>
                    </a:blip>
                    <a:srcRect l="5629" r="9271"/>
                    <a:stretch>
                      <a:fillRect/>
                    </a:stretch>
                  </pic:blipFill>
                  <pic:spPr bwMode="auto">
                    <a:xfrm>
                      <a:off x="0" y="0"/>
                      <a:ext cx="4895850" cy="1952625"/>
                    </a:xfrm>
                    <a:prstGeom prst="rect">
                      <a:avLst/>
                    </a:prstGeom>
                    <a:noFill/>
                    <a:ln w="6350" cmpd="sng">
                      <a:solidFill>
                        <a:srgbClr val="000000"/>
                      </a:solidFill>
                      <a:miter lim="800000"/>
                      <a:headEnd/>
                      <a:tailEnd/>
                    </a:ln>
                    <a:effectLst/>
                  </pic:spPr>
                </pic:pic>
              </a:graphicData>
            </a:graphic>
          </wp:inline>
        </w:drawing>
      </w:r>
    </w:p>
    <w:p w:rsidR="005B3A94" w:rsidRPr="005B3A94" w:rsidRDefault="005B3A94" w:rsidP="005B3A94">
      <w:pPr>
        <w:pStyle w:val="AufgabenbezogenerKommentar"/>
        <w:spacing w:line="288" w:lineRule="auto"/>
        <w:rPr>
          <w:sz w:val="22"/>
          <w:szCs w:val="22"/>
        </w:rPr>
      </w:pPr>
      <w:r w:rsidRPr="005B3A94">
        <w:rPr>
          <w:sz w:val="22"/>
          <w:szCs w:val="22"/>
        </w:rPr>
        <w:t>Anregungen für den Unterricht</w:t>
      </w:r>
    </w:p>
    <w:p w:rsidR="005B3A94" w:rsidRPr="005B3A94" w:rsidRDefault="005B3A94" w:rsidP="005B3A94">
      <w:pPr>
        <w:pStyle w:val="Flietext"/>
        <w:spacing w:line="288" w:lineRule="auto"/>
        <w:rPr>
          <w:szCs w:val="22"/>
        </w:rPr>
      </w:pPr>
      <w:r w:rsidRPr="005B3A94">
        <w:rPr>
          <w:szCs w:val="22"/>
        </w:rPr>
        <w:t>Treten bei dieser Aufgabe Schwierigkeiten auf, bietet sich z. B. eine visualisierende Gegen</w:t>
      </w:r>
      <w:r w:rsidRPr="005B3A94">
        <w:rPr>
          <w:szCs w:val="22"/>
        </w:rPr>
        <w:softHyphen/>
        <w:t>überstellung der beiden Ereignisse an, welche die Wahrscheinlichkeiten direkt erkennen bzw. berechnen lassen:</w:t>
      </w:r>
    </w:p>
    <w:p w:rsidR="005B3A94" w:rsidRPr="005B3A94" w:rsidRDefault="005B3A94" w:rsidP="005B3A94">
      <w:pPr>
        <w:pStyle w:val="Flietext"/>
        <w:spacing w:before="100" w:beforeAutospacing="1" w:line="288" w:lineRule="auto"/>
        <w:rPr>
          <w:szCs w:val="22"/>
        </w:rPr>
      </w:pPr>
      <w:r w:rsidRPr="005B3A94">
        <w:rPr>
          <w:noProof/>
          <w:szCs w:val="22"/>
        </w:rPr>
        <w:drawing>
          <wp:inline distT="0" distB="0" distL="0" distR="0" wp14:anchorId="259134DE" wp14:editId="4EA5E7E3">
            <wp:extent cx="5753100" cy="1400175"/>
            <wp:effectExtent l="19050" t="19050" r="19050" b="28575"/>
            <wp:docPr id="3" name="Grafik 3"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1_Anreg für den U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1400175"/>
                    </a:xfrm>
                    <a:prstGeom prst="rect">
                      <a:avLst/>
                    </a:prstGeom>
                    <a:noFill/>
                    <a:ln w="6350" cmpd="sng">
                      <a:solidFill>
                        <a:srgbClr val="000000"/>
                      </a:solidFill>
                      <a:miter lim="800000"/>
                      <a:headEnd/>
                      <a:tailEnd/>
                    </a:ln>
                    <a:effectLst/>
                  </pic:spPr>
                </pic:pic>
              </a:graphicData>
            </a:graphic>
          </wp:inline>
        </w:drawing>
      </w:r>
    </w:p>
    <w:p w:rsidR="005B3A94" w:rsidRPr="005B3A94" w:rsidRDefault="005B3A94" w:rsidP="005B3A94">
      <w:pPr>
        <w:pStyle w:val="Flietext"/>
        <w:spacing w:line="288" w:lineRule="auto"/>
        <w:rPr>
          <w:szCs w:val="22"/>
        </w:rPr>
      </w:pPr>
      <w:r w:rsidRPr="005B3A94">
        <w:rPr>
          <w:szCs w:val="22"/>
        </w:rPr>
        <w:t>Im Vergleich und zunächst als Bruch gedeutet ergibt sich somit:</w:t>
      </w:r>
    </w:p>
    <w:p w:rsidR="005B3A94" w:rsidRPr="005B3A94" w:rsidRDefault="005B3A94" w:rsidP="005B3A94">
      <w:pPr>
        <w:pStyle w:val="Flietext12"/>
        <w:spacing w:line="288" w:lineRule="auto"/>
        <w:rPr>
          <w:sz w:val="22"/>
          <w:szCs w:val="22"/>
        </w:rPr>
      </w:pPr>
      <w:r w:rsidRPr="005B3A94">
        <w:rPr>
          <w:sz w:val="22"/>
          <w:szCs w:val="22"/>
        </w:rPr>
        <w:t xml:space="preserve">„1 von 6“ </w:t>
      </w:r>
      <w:r w:rsidRPr="005B3A94">
        <w:rPr>
          <w:rFonts w:ascii="Symbol" w:hAnsi="Symbol"/>
          <w:sz w:val="22"/>
          <w:szCs w:val="22"/>
        </w:rPr>
        <w:t></w:t>
      </w:r>
      <w:r w:rsidRPr="005B3A94">
        <w:rPr>
          <w:sz w:val="22"/>
          <w:szCs w:val="22"/>
        </w:rPr>
        <w:t xml:space="preserve"> </w:t>
      </w:r>
      <w:r w:rsidRPr="005B3A94">
        <w:rPr>
          <w:position w:val="-22"/>
          <w:sz w:val="22"/>
          <w:szCs w:val="22"/>
        </w:rPr>
        <w:object w:dxaOrig="24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1.5pt" o:ole="">
            <v:imagedata r:id="rId12" o:title=""/>
          </v:shape>
          <o:OLEObject Type="Embed" ProgID="Equation.DSMT4" ShapeID="_x0000_i1025" DrawAspect="Content" ObjectID="_1485941739" r:id="rId13"/>
        </w:object>
      </w:r>
      <w:r w:rsidRPr="005B3A94">
        <w:rPr>
          <w:sz w:val="22"/>
          <w:szCs w:val="22"/>
        </w:rPr>
        <w:t xml:space="preserve"> = 0,1666... </w:t>
      </w:r>
      <w:r w:rsidRPr="005B3A94">
        <w:rPr>
          <w:sz w:val="22"/>
          <w:szCs w:val="22"/>
        </w:rPr>
        <w:sym w:font="Symbol" w:char="F03C"/>
      </w:r>
      <w:r w:rsidRPr="005B3A94">
        <w:rPr>
          <w:sz w:val="22"/>
          <w:szCs w:val="22"/>
        </w:rPr>
        <w:t xml:space="preserve"> „1 von 2“ </w:t>
      </w:r>
      <w:r w:rsidRPr="005B3A94">
        <w:rPr>
          <w:rFonts w:ascii="Symbol" w:hAnsi="Symbol"/>
          <w:sz w:val="22"/>
          <w:szCs w:val="22"/>
        </w:rPr>
        <w:t></w:t>
      </w:r>
      <w:r w:rsidRPr="005B3A94">
        <w:rPr>
          <w:sz w:val="22"/>
          <w:szCs w:val="22"/>
        </w:rPr>
        <w:t xml:space="preserve"> </w:t>
      </w:r>
      <w:r w:rsidRPr="005B3A94">
        <w:rPr>
          <w:position w:val="-22"/>
          <w:sz w:val="22"/>
          <w:szCs w:val="22"/>
        </w:rPr>
        <w:object w:dxaOrig="240" w:dyaOrig="580">
          <v:shape id="_x0000_i1026" type="#_x0000_t75" style="width:12.75pt;height:31.5pt" o:ole="">
            <v:imagedata r:id="rId14" o:title=""/>
          </v:shape>
          <o:OLEObject Type="Embed" ProgID="Equation.DSMT4" ShapeID="_x0000_i1026" DrawAspect="Content" ObjectID="_1485941740" r:id="rId15"/>
        </w:object>
      </w:r>
      <w:r w:rsidRPr="005B3A94">
        <w:rPr>
          <w:sz w:val="22"/>
          <w:szCs w:val="22"/>
        </w:rPr>
        <w:t xml:space="preserve"> </w:t>
      </w:r>
      <w:r w:rsidRPr="005B3A94">
        <w:rPr>
          <w:rFonts w:ascii="Symbol" w:hAnsi="Symbol"/>
          <w:sz w:val="22"/>
          <w:szCs w:val="22"/>
        </w:rPr>
        <w:t></w:t>
      </w:r>
      <w:r w:rsidRPr="005B3A94">
        <w:rPr>
          <w:sz w:val="22"/>
          <w:szCs w:val="22"/>
        </w:rPr>
        <w:t xml:space="preserve"> 0,5</w:t>
      </w:r>
    </w:p>
    <w:p w:rsidR="005B3A94" w:rsidRPr="005B3A94" w:rsidRDefault="005B3A94" w:rsidP="005B3A94">
      <w:pPr>
        <w:pStyle w:val="Flietext"/>
        <w:spacing w:line="288" w:lineRule="auto"/>
        <w:rPr>
          <w:szCs w:val="22"/>
        </w:rPr>
      </w:pPr>
      <w:r w:rsidRPr="005B3A94">
        <w:rPr>
          <w:szCs w:val="22"/>
        </w:rPr>
        <w:t xml:space="preserve">Zum Vergleich von Wahrscheinlichkeiten ist es für </w:t>
      </w:r>
      <w:r w:rsidR="009769B6">
        <w:rPr>
          <w:szCs w:val="22"/>
        </w:rPr>
        <w:t>Schülerinnen und Schüler</w:t>
      </w:r>
      <w:r w:rsidRPr="005B3A94">
        <w:rPr>
          <w:szCs w:val="22"/>
        </w:rPr>
        <w:t xml:space="preserve"> hilfreich, mit Brüchen umgehen zu können. So ist es hier z. B. nötig, ungleichnamige Brüche durch Erweitern oder Kürzen gleichnamig zu machen oder als Dezimalbrüche bzw. Prozentzahlen darzustellen. Dies erfordert eine Wiederholung von Teilen der Bruchrechnung.</w:t>
      </w:r>
    </w:p>
    <w:p w:rsidR="005B3A94" w:rsidRPr="005B3A94" w:rsidRDefault="005B3A94" w:rsidP="005B3A94">
      <w:pPr>
        <w:pStyle w:val="Flietext"/>
        <w:spacing w:line="288" w:lineRule="auto"/>
        <w:rPr>
          <w:szCs w:val="22"/>
        </w:rPr>
      </w:pPr>
      <w:r w:rsidRPr="005B3A94">
        <w:rPr>
          <w:szCs w:val="22"/>
        </w:rPr>
        <w:t xml:space="preserve">Bei Schwierigkeiten mit dieser Aufgabe bietet es sich auch an, die Wahrscheinlichkeiten der beiden Ereignisse handlungsorientiert durch entsprechende Experimente annähern und </w:t>
      </w:r>
      <w:r w:rsidRPr="005B3A94">
        <w:rPr>
          <w:szCs w:val="22"/>
        </w:rPr>
        <w:lastRenderedPageBreak/>
        <w:t xml:space="preserve">damit überprüfen zu lassen. Dazu können die </w:t>
      </w:r>
      <w:r w:rsidR="009769B6">
        <w:rPr>
          <w:szCs w:val="22"/>
        </w:rPr>
        <w:t>Schülerinnen und Schüler</w:t>
      </w:r>
      <w:r w:rsidRPr="005B3A94">
        <w:rPr>
          <w:szCs w:val="22"/>
        </w:rPr>
        <w:t xml:space="preserve"> z. B. 100, 200, ... mal würfeln und die Anzahl der gefallenen Augenzahl 6 notieren. </w:t>
      </w:r>
    </w:p>
    <w:p w:rsidR="005B3A94" w:rsidRPr="005B3A94" w:rsidRDefault="005B3A94" w:rsidP="005B3A94">
      <w:pPr>
        <w:pStyle w:val="Flietext"/>
        <w:keepNext/>
        <w:spacing w:line="288" w:lineRule="auto"/>
        <w:rPr>
          <w:szCs w:val="22"/>
        </w:rPr>
      </w:pPr>
      <w:r w:rsidRPr="005B3A94">
        <w:rPr>
          <w:szCs w:val="22"/>
        </w:rPr>
        <w:t xml:space="preserve">Auch Umkehraufgaben können dazu beitragen, die Kenntnisse und Fähigkeiten zur Berechnung von Wahrscheinlichkeiten zu vertiefen. So könnte z. B. gefragt werden: </w:t>
      </w:r>
    </w:p>
    <w:p w:rsidR="005B3A94" w:rsidRPr="005B3A94" w:rsidRDefault="005B3A94" w:rsidP="005B3A94">
      <w:pPr>
        <w:pStyle w:val="Flietext"/>
        <w:spacing w:before="240" w:line="288" w:lineRule="auto"/>
        <w:rPr>
          <w:szCs w:val="22"/>
        </w:rPr>
      </w:pPr>
      <w:r w:rsidRPr="005B3A94">
        <w:rPr>
          <w:noProof/>
          <w:szCs w:val="22"/>
        </w:rPr>
        <w:drawing>
          <wp:inline distT="0" distB="0" distL="0" distR="0" wp14:anchorId="4DBDD4FE" wp14:editId="06A0F2D6">
            <wp:extent cx="5753100" cy="409575"/>
            <wp:effectExtent l="19050" t="19050" r="19050" b="28575"/>
            <wp:docPr id="2" name="Grafik 2"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02_Anreg für den Un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409575"/>
                    </a:xfrm>
                    <a:prstGeom prst="rect">
                      <a:avLst/>
                    </a:prstGeom>
                    <a:noFill/>
                    <a:ln w="6350" cmpd="sng">
                      <a:solidFill>
                        <a:srgbClr val="000000"/>
                      </a:solidFill>
                      <a:miter lim="800000"/>
                      <a:headEnd/>
                      <a:tailEnd/>
                    </a:ln>
                    <a:effectLst/>
                  </pic:spPr>
                </pic:pic>
              </a:graphicData>
            </a:graphic>
          </wp:inline>
        </w:drawing>
      </w:r>
    </w:p>
    <w:p w:rsidR="001D4704" w:rsidRPr="001A0829" w:rsidRDefault="001D4704" w:rsidP="005B3A94">
      <w:pPr>
        <w:pStyle w:val="2berschrift"/>
        <w:rPr>
          <w:szCs w:val="22"/>
          <w:lang w:val="de-DE"/>
        </w:rPr>
      </w:pPr>
    </w:p>
    <w:sectPr w:rsidR="001D4704" w:rsidRPr="001A0829" w:rsidSect="00D60A6F">
      <w:footerReference w:type="even" r:id="rId17"/>
      <w:footerReference w:type="default" r:id="rId18"/>
      <w:headerReference w:type="first" r:id="rId19"/>
      <w:footerReference w:type="first" r:id="rId20"/>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A94" w:rsidRDefault="005B3A94">
      <w:r>
        <w:separator/>
      </w:r>
    </w:p>
  </w:endnote>
  <w:endnote w:type="continuationSeparator" w:id="0">
    <w:p w:rsidR="005B3A94" w:rsidRDefault="005B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A94" w:rsidRDefault="005B3A94"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5B3A94" w:rsidRDefault="005B3A9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A94" w:rsidRDefault="005B3A94"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5E12EE">
      <w:rPr>
        <w:rStyle w:val="Seitenzahl"/>
        <w:noProof/>
      </w:rPr>
      <w:t>2</w:t>
    </w:r>
    <w:r>
      <w:rPr>
        <w:rStyle w:val="Seitenzahl"/>
      </w:rPr>
      <w:fldChar w:fldCharType="end"/>
    </w:r>
  </w:p>
  <w:p w:rsidR="005B3A94" w:rsidRDefault="005B3A9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5B3A94" w:rsidRDefault="005B3A94">
        <w:pPr>
          <w:pStyle w:val="Fuzeile"/>
          <w:jc w:val="center"/>
        </w:pPr>
        <w:r>
          <w:fldChar w:fldCharType="begin"/>
        </w:r>
        <w:r>
          <w:instrText>PAGE   \* MERGEFORMAT</w:instrText>
        </w:r>
        <w:r>
          <w:fldChar w:fldCharType="separate"/>
        </w:r>
        <w:r w:rsidR="005E12EE">
          <w:rPr>
            <w:noProof/>
          </w:rPr>
          <w:t>1</w:t>
        </w:r>
        <w:r>
          <w:fldChar w:fldCharType="end"/>
        </w:r>
      </w:p>
    </w:sdtContent>
  </w:sdt>
  <w:p w:rsidR="005B3A94" w:rsidRDefault="005B3A9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A94" w:rsidRDefault="005B3A94">
      <w:r>
        <w:separator/>
      </w:r>
    </w:p>
  </w:footnote>
  <w:footnote w:type="continuationSeparator" w:id="0">
    <w:p w:rsidR="005B3A94" w:rsidRDefault="005B3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A94" w:rsidRDefault="005B3A94">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3"/>
  </w:num>
  <w:num w:numId="4">
    <w:abstractNumId w:val="6"/>
  </w:num>
  <w:num w:numId="5">
    <w:abstractNumId w:val="1"/>
  </w:num>
  <w:num w:numId="6">
    <w:abstractNumId w:val="9"/>
  </w:num>
  <w:num w:numId="7">
    <w:abstractNumId w:val="4"/>
  </w:num>
  <w:num w:numId="8">
    <w:abstractNumId w:val="8"/>
  </w:num>
  <w:num w:numId="9">
    <w:abstractNumId w:val="5"/>
  </w:num>
  <w:num w:numId="10">
    <w:abstractNumId w:val="15"/>
  </w:num>
  <w:num w:numId="11">
    <w:abstractNumId w:val="14"/>
  </w:num>
  <w:num w:numId="12">
    <w:abstractNumId w:val="11"/>
  </w:num>
  <w:num w:numId="13">
    <w:abstractNumId w:val="10"/>
  </w:num>
  <w:num w:numId="14">
    <w:abstractNumId w:val="7"/>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B3A94"/>
    <w:rsid w:val="005D22C4"/>
    <w:rsid w:val="005E12EE"/>
    <w:rsid w:val="0061709D"/>
    <w:rsid w:val="006330E5"/>
    <w:rsid w:val="006630A5"/>
    <w:rsid w:val="00666933"/>
    <w:rsid w:val="00687ABE"/>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769B6"/>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B3A94"/>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B3A94"/>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B3A94"/>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B3A94"/>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w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E61DD81D</Template>
  <TotalTime>0</TotalTime>
  <Pages>3</Pages>
  <Words>367</Words>
  <Characters>2535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2012-12-10T13:53:00Z</dcterms:created>
  <dcterms:modified xsi:type="dcterms:W3CDTF">2015-02-20T11:49:00Z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